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993" w:leader="none"/>
          <w:tab w:val="left" w:pos="9720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СООБЩЕНИЕ</w:t>
      </w:r>
      <w:r>
        <w:rPr>
          <w:b/>
          <w:color w:val="000000" w:themeColor="text1"/>
        </w:rPr>
      </w:r>
    </w:p>
    <w:p>
      <w:pPr>
        <w:jc w:val="center"/>
        <w:shd w:val="clear" w:color="auto" w:fill="ffffff"/>
        <w:tabs>
          <w:tab w:val="left" w:pos="993" w:leader="none"/>
          <w:tab w:val="left" w:pos="9720" w:leader="none"/>
        </w:tabs>
        <w:rPr>
          <w:b/>
          <w:color w:val="000000" w:themeColor="text1"/>
          <w:spacing w:val="-6"/>
        </w:rPr>
      </w:pPr>
      <w:r>
        <w:rPr>
          <w:b/>
          <w:color w:val="000000" w:themeColor="text1"/>
          <w:spacing w:val="-6"/>
        </w:rPr>
        <w:t xml:space="preserve">о проведении внеочередного общего собрания акционеров</w:t>
      </w:r>
      <w:r>
        <w:rPr>
          <w:b/>
          <w:color w:val="000000" w:themeColor="text1"/>
          <w:spacing w:val="-6"/>
        </w:rPr>
      </w:r>
    </w:p>
    <w:p>
      <w:pPr>
        <w:jc w:val="center"/>
        <w:shd w:val="clear" w:color="auto" w:fill="ffffff"/>
        <w:tabs>
          <w:tab w:val="left" w:pos="993" w:leader="none"/>
          <w:tab w:val="left" w:pos="8789" w:leader="underscore"/>
        </w:tabs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АО </w:t>
      </w:r>
      <w:r>
        <w:rPr>
          <w:bCs/>
          <w:color w:val="000000" w:themeColor="text1"/>
          <w:spacing w:val="-7"/>
        </w:rPr>
        <w:t xml:space="preserve">«Газпром газораспределение Смоленск»</w:t>
      </w:r>
      <w:r>
        <w:rPr>
          <w:bCs/>
          <w:color w:val="000000" w:themeColor="text1"/>
        </w:rPr>
      </w:r>
    </w:p>
    <w:p>
      <w:pPr>
        <w:jc w:val="center"/>
        <w:shd w:val="clear" w:color="auto" w:fill="ffffff"/>
        <w:tabs>
          <w:tab w:val="left" w:pos="993" w:leader="none"/>
          <w:tab w:val="left" w:pos="9720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58"/>
        <w:spacing w:after="60"/>
        <w:tabs>
          <w:tab w:val="left" w:pos="993" w:leader="none"/>
          <w:tab w:val="left" w:pos="9720" w:leader="none"/>
        </w:tabs>
        <w:rPr>
          <w:bCs w:val="0"/>
          <w:color w:val="000000" w:themeColor="text1"/>
          <w:spacing w:val="0"/>
          <w:sz w:val="24"/>
          <w:szCs w:val="24"/>
        </w:rPr>
      </w:pPr>
      <w:r>
        <w:rPr>
          <w:bCs w:val="0"/>
          <w:color w:val="000000" w:themeColor="text1"/>
          <w:spacing w:val="0"/>
          <w:sz w:val="24"/>
          <w:szCs w:val="24"/>
        </w:rPr>
        <w:t xml:space="preserve">УВАЖАЕМЫЙ АКЦИОНЕР!</w:t>
      </w:r>
      <w:r>
        <w:rPr>
          <w:bCs w:val="0"/>
          <w:color w:val="000000" w:themeColor="text1"/>
          <w:spacing w:val="0"/>
          <w:sz w:val="24"/>
          <w:szCs w:val="24"/>
        </w:rPr>
      </w:r>
    </w:p>
    <w:p>
      <w:r/>
      <w:r/>
    </w:p>
    <w:p>
      <w:pPr>
        <w:ind w:firstLine="709"/>
        <w:jc w:val="both"/>
        <w:shd w:val="clear" w:color="auto" w:fill="ffffff"/>
        <w:tabs>
          <w:tab w:val="left" w:pos="993" w:leader="none"/>
          <w:tab w:val="left" w:pos="7253" w:leader="underscore"/>
        </w:tabs>
        <w:rPr>
          <w:b/>
          <w:color w:val="000000" w:themeColor="text1"/>
          <w:spacing w:val="-2"/>
        </w:rPr>
      </w:pPr>
      <w:r>
        <w:rPr>
          <w:bCs/>
          <w:iCs/>
          <w:color w:val="000000" w:themeColor="text1"/>
        </w:rPr>
        <w:t xml:space="preserve">Акционерное общество «Газпром газораспределение Смоленск»</w:t>
      </w:r>
      <w:r>
        <w:rPr>
          <w:iCs/>
          <w:color w:val="000000" w:themeColor="text1"/>
        </w:rPr>
        <w:t xml:space="preserve"> (далее – Общество) </w:t>
      </w:r>
      <w:r>
        <w:rPr>
          <w:color w:val="000000" w:themeColor="text1"/>
        </w:rPr>
        <w:t xml:space="preserve">уведомляет Вас о проведении внеочередного о</w:t>
      </w:r>
      <w:r>
        <w:rPr>
          <w:color w:val="000000" w:themeColor="text1"/>
          <w:spacing w:val="-2"/>
        </w:rPr>
        <w:t xml:space="preserve">бщего собрания акционеров</w:t>
      </w:r>
      <w:r>
        <w:rPr>
          <w:b/>
          <w:color w:val="000000" w:themeColor="text1"/>
          <w:spacing w:val="-2"/>
        </w:rPr>
        <w:t xml:space="preserve">.</w:t>
      </w:r>
      <w:r>
        <w:rPr>
          <w:b/>
          <w:color w:val="000000" w:themeColor="text1"/>
          <w:spacing w:val="-2"/>
        </w:rPr>
      </w:r>
    </w:p>
    <w:p>
      <w:pPr>
        <w:ind w:firstLine="709"/>
        <w:jc w:val="both"/>
        <w:rPr>
          <w:rFonts w:eastAsiaTheme="minorHAnsi"/>
          <w:b/>
          <w:bCs/>
          <w:color w:val="000000" w:themeColor="text1"/>
        </w:rPr>
      </w:pPr>
      <w:r>
        <w:rPr>
          <w:rFonts w:eastAsiaTheme="minorHAnsi"/>
          <w:bCs/>
          <w:color w:val="000000" w:themeColor="text1"/>
          <w:lang w:eastAsia="en-US"/>
        </w:rPr>
        <w:t xml:space="preserve">Место нахождения Общества: 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Российская Федерация, город Смоленск.</w:t>
      </w:r>
      <w:r>
        <w:rPr>
          <w:rFonts w:eastAsiaTheme="minorHAnsi"/>
          <w:b/>
          <w:bCs/>
          <w:color w:val="000000" w:themeColor="text1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7253" w:leader="underscore"/>
        </w:tabs>
        <w:rPr>
          <w:b/>
          <w:color w:val="000000" w:themeColor="text1"/>
          <w:spacing w:val="-2"/>
        </w:rPr>
      </w:pPr>
      <w:r>
        <w:rPr>
          <w:color w:val="000000" w:themeColor="text1"/>
          <w:spacing w:val="-2"/>
        </w:rPr>
        <w:t xml:space="preserve">Способ принятия решений общим собранием акционеров:</w:t>
      </w:r>
      <w:r>
        <w:rPr>
          <w:b/>
          <w:color w:val="000000" w:themeColor="text1"/>
          <w:spacing w:val="-2"/>
        </w:rPr>
        <w:t xml:space="preserve"> заочное голосование</w:t>
      </w:r>
      <w:r>
        <w:rPr>
          <w:color w:val="000000" w:themeColor="text1"/>
          <w:spacing w:val="-2"/>
        </w:rPr>
        <w:t xml:space="preserve">.</w:t>
      </w:r>
      <w:r>
        <w:rPr>
          <w:b/>
          <w:color w:val="000000" w:themeColor="text1"/>
          <w:spacing w:val="-2"/>
        </w:rPr>
      </w:r>
    </w:p>
    <w:p>
      <w:pPr>
        <w:ind w:firstLine="709"/>
        <w:jc w:val="both"/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Дата проведения</w:t>
      </w:r>
      <w:r>
        <w:t xml:space="preserve"> </w:t>
      </w:r>
      <w:r>
        <w:rPr>
          <w:bCs/>
          <w:color w:val="000000" w:themeColor="text1"/>
        </w:rPr>
        <w:t xml:space="preserve">собрания акционеров (дата окончания приема бюллетеней для голосования)</w:t>
      </w:r>
      <w:r>
        <w:rPr>
          <w:rFonts w:eastAsiaTheme="minorHAnsi"/>
          <w:bCs/>
          <w:color w:val="000000" w:themeColor="text1"/>
          <w:lang w:eastAsia="en-US"/>
        </w:rPr>
        <w:t xml:space="preserve">: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r>
        <w:rPr>
          <w:b/>
          <w:bCs/>
          <w:color w:val="000000" w:themeColor="text1"/>
        </w:rPr>
        <w:t xml:space="preserve">24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октября</w:t>
      </w:r>
      <w:r>
        <w:rPr>
          <w:b/>
          <w:bCs/>
          <w:color w:val="000000" w:themeColor="text1"/>
        </w:rPr>
        <w:t xml:space="preserve"> 2025 года.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rPr>
          <w:b/>
          <w:bCs/>
          <w:color w:val="000000" w:themeColor="text1"/>
        </w:rPr>
      </w:pPr>
      <w:r>
        <w:rPr>
          <w:rFonts w:eastAsiaTheme="minorHAnsi"/>
          <w:color w:val="000000" w:themeColor="text1"/>
          <w:lang w:eastAsia="en-US"/>
        </w:rPr>
        <w:t xml:space="preserve">Почтовый адрес, по которому могут направляться заполненные бюллетени для голосования: </w:t>
      </w:r>
      <w:r>
        <w:rPr>
          <w:rFonts w:eastAsiaTheme="minorHAnsi"/>
          <w:b/>
          <w:color w:val="000000" w:themeColor="text1"/>
          <w:lang w:eastAsia="en-US"/>
        </w:rPr>
        <w:t xml:space="preserve">214019, Смоленская область, г. Смоленск, Трамвайный проезд, д. 10.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>
        <w:rPr>
          <w:b/>
          <w:color w:val="000000" w:themeColor="text1"/>
        </w:rPr>
        <w:t xml:space="preserve">30</w:t>
      </w:r>
      <w:r>
        <w:rPr>
          <w:b/>
          <w:color w:val="000000" w:themeColor="text1"/>
          <w:spacing w:val="-2"/>
        </w:rPr>
        <w:t xml:space="preserve"> сентября 2025 года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Категории (типы) акций, владельцы которых имеют право голоса по всем вопросам повестки дня общего собрания акционеров: </w:t>
      </w:r>
      <w:r>
        <w:rPr>
          <w:b/>
          <w:color w:val="000000" w:themeColor="text1"/>
        </w:rPr>
        <w:t xml:space="preserve">обыкновенные акции.</w:t>
      </w:r>
      <w:r>
        <w:rPr>
          <w:color w:val="000000" w:themeColor="text1"/>
        </w:rPr>
      </w:r>
    </w:p>
    <w:p>
      <w:pPr>
        <w:ind w:firstLine="709"/>
        <w:jc w:val="both"/>
        <w:tabs>
          <w:tab w:val="left" w:pos="993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center"/>
        <w:shd w:val="clear" w:color="auto" w:fill="ffffff"/>
        <w:tabs>
          <w:tab w:val="left" w:pos="993" w:leader="none"/>
          <w:tab w:val="left" w:pos="9720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Повестка дня:</w:t>
      </w:r>
      <w:r>
        <w:rPr>
          <w:b/>
          <w:color w:val="000000" w:themeColor="text1"/>
        </w:rPr>
      </w:r>
    </w:p>
    <w:p>
      <w:pPr>
        <w:jc w:val="both"/>
        <w:shd w:val="clear" w:color="auto" w:fill="ffffff"/>
        <w:tabs>
          <w:tab w:val="left" w:pos="993" w:leader="none"/>
          <w:tab w:val="left" w:pos="9720" w:leader="none"/>
        </w:tabs>
        <w:rPr>
          <w:color w:val="000000" w:themeColor="text1"/>
        </w:rPr>
      </w:pPr>
      <w:r>
        <w:rPr>
          <w:color w:val="000000" w:themeColor="text1"/>
        </w:rPr>
        <w:tab/>
        <w:t xml:space="preserve">1. Об уменьшении Уставного капитала Общества.</w:t>
      </w:r>
      <w:r>
        <w:rPr>
          <w:color w:val="000000" w:themeColor="text1"/>
        </w:rPr>
      </w:r>
    </w:p>
    <w:p>
      <w:pPr>
        <w:jc w:val="both"/>
        <w:shd w:val="clear" w:color="auto" w:fill="ffffff"/>
        <w:tabs>
          <w:tab w:val="left" w:pos="993" w:leader="none"/>
          <w:tab w:val="left" w:pos="9720" w:leader="none"/>
        </w:tabs>
        <w:rPr>
          <w:color w:val="000000" w:themeColor="text1"/>
        </w:rPr>
      </w:pPr>
      <w:r>
        <w:rPr>
          <w:color w:val="000000" w:themeColor="text1"/>
        </w:rPr>
        <w:tab/>
        <w:t xml:space="preserve">2. Утверждение изменения № 1 в Устав Общества.</w:t>
      </w:r>
      <w:r>
        <w:rPr>
          <w:color w:val="000000" w:themeColor="text1"/>
        </w:rPr>
      </w:r>
    </w:p>
    <w:p>
      <w:pPr>
        <w:shd w:val="clear" w:color="auto" w:fill="ffffff"/>
        <w:tabs>
          <w:tab w:val="left" w:pos="993" w:leader="none"/>
          <w:tab w:val="left" w:pos="9720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hd w:val="clear" w:color="auto" w:fill="ffffff"/>
        <w:tabs>
          <w:tab w:val="left" w:pos="532" w:leader="none"/>
          <w:tab w:val="left" w:pos="993" w:leader="none"/>
        </w:tabs>
        <w:rPr>
          <w:b/>
          <w:i/>
          <w:color w:val="000000" w:themeColor="text1"/>
        </w:rPr>
      </w:pPr>
      <w:r>
        <w:rPr>
          <w:color w:val="000000" w:themeColor="text1"/>
        </w:rPr>
        <w:t xml:space="preserve">С информацией (материалами) по вопросам повестки дня внеочередного общего собрания акционеров можно ознакомиться </w:t>
      </w:r>
      <w:r>
        <w:rPr>
          <w:b/>
          <w:color w:val="000000" w:themeColor="text1"/>
        </w:rPr>
        <w:t xml:space="preserve">в течение двадцати дней </w:t>
      </w:r>
      <w:r>
        <w:rPr>
          <w:color w:val="000000" w:themeColor="text1"/>
        </w:rPr>
        <w:t xml:space="preserve">до проведения внеочередного общего собрания акционеров по адресу: </w:t>
      </w:r>
      <w:r>
        <w:rPr>
          <w:b/>
          <w:i/>
          <w:color w:val="000000" w:themeColor="text1"/>
        </w:rPr>
        <w:t xml:space="preserve">Смоленская область, </w:t>
      </w:r>
      <w:r>
        <w:rPr>
          <w:b/>
          <w:i/>
          <w:color w:val="000000" w:themeColor="text1"/>
        </w:rPr>
        <w:br/>
      </w:r>
      <w:r>
        <w:rPr>
          <w:b/>
          <w:i/>
          <w:color w:val="000000" w:themeColor="text1"/>
        </w:rPr>
        <w:t xml:space="preserve">г. Смоленск, Трамвайный проезд, д. 10, кабинет 419 с понедельника по пятницу с 08 часов 00 минут до 12 часов 30 минут и с 13 часов 18 минут до 17 часов 00 минут, справки по тел. 8 (8412) 62-23-74, контактное лицо Филипенко Ольга Владимировна.</w:t>
      </w:r>
      <w:r>
        <w:rPr>
          <w:b/>
          <w:i/>
          <w:color w:val="000000" w:themeColor="text1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9923" w:leader="none"/>
        </w:tabs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Право на участие в общем собрании акционеров осуществляется акционером как лично, так и через своего представителя.</w:t>
      </w:r>
      <w:r>
        <w:rPr>
          <w:bCs/>
          <w:iCs/>
          <w:color w:val="000000" w:themeColor="text1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highlight w:val="white"/>
        </w:rPr>
      </w:pPr>
      <w:r>
        <w:rPr>
          <w:color w:val="000000" w:themeColor="text1"/>
        </w:rPr>
        <w:t xml:space="preserve">Акционеры, чьи права на ценные бумаги учитываются номинальным держателем, вправе принимать участие в общем собрании и осуществлять свое право голоса путем дачи указаний (инструкций) номинальному держателю. Порядок дачи указаний (инструкций) определяются до</w:t>
      </w:r>
      <w:r>
        <w:rPr>
          <w:color w:val="000000" w:themeColor="text1"/>
          <w:highlight w:val="white"/>
        </w:rPr>
        <w:t xml:space="preserve">говором с номинальным держателем.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</w:rPr>
      </w:pPr>
      <w:r>
        <w:rPr>
          <w:color w:val="000000" w:themeColor="text1"/>
          <w:highlight w:val="white"/>
        </w:rPr>
        <w:t xml:space="preserve">В случае изменения данных акционера, зарегистрированного в реестре акционеров общества, в том числе адресных данных, данных о банковских реквизитах, необходимо предоставить информацию об указанных изменениях регистратору Общества. </w:t>
      </w:r>
      <w:r>
        <w:rPr>
          <w:color w:val="000000" w:themeColor="text1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hd w:val="clear" w:color="auto" w:fill="ffffff"/>
        <w:tabs>
          <w:tab w:val="left" w:pos="1701" w:leader="none"/>
          <w:tab w:val="left" w:pos="2552" w:leader="none"/>
        </w:tabs>
        <w:rPr>
          <w:iCs/>
          <w:color w:val="000000"/>
        </w:rPr>
      </w:pPr>
      <w:r>
        <w:rPr>
          <w:iCs/>
          <w:color w:val="000000"/>
        </w:rPr>
        <w:t xml:space="preserve">Доверенность на голосование должна содержать сведения </w:t>
      </w:r>
      <w:r>
        <w:rPr>
          <w:iCs/>
          <w:color w:val="000000"/>
        </w:rPr>
        <w:t xml:space="preserve">о представляемом и представителе (для физического лица - имя,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</w:t>
      </w:r>
      <w:r>
        <w:rPr>
          <w:iCs/>
          <w:color w:val="000000"/>
        </w:rPr>
        <w:t xml:space="preserve"> Доверенность на голосование должна быть оформлена в соответствии с требованиями пунктов 3 и 4 статьи 185.1 Гражданского кодекса Российской Федерации или удостоверена нотариально.</w:t>
      </w:r>
      <w:r>
        <w:rPr>
          <w:iCs/>
          <w:color w:val="000000"/>
        </w:rPr>
      </w:r>
    </w:p>
    <w:p>
      <w:pPr>
        <w:ind w:firstLine="709"/>
        <w:jc w:val="both"/>
        <w:shd w:val="clear" w:color="auto" w:fill="ffffff"/>
        <w:tabs>
          <w:tab w:val="left" w:pos="1701" w:leader="none"/>
          <w:tab w:val="left" w:pos="2552" w:leader="none"/>
        </w:tabs>
        <w:rPr>
          <w:iCs/>
          <w:color w:val="000000"/>
          <w:spacing w:val="-1"/>
        </w:rPr>
      </w:pPr>
      <w:r>
        <w:rPr>
          <w:iCs/>
          <w:color w:val="000000"/>
        </w:rPr>
        <w:t xml:space="preserve">В случае правопреемства - документы, удостоверяющие полномочия правопреемников и представителей лиц, имеющих право на участие в общем собрании акционеров, (их копии, засвидетельствованные нотариально)</w:t>
      </w:r>
      <w:r>
        <w:rPr>
          <w:iCs/>
          <w:color w:val="000000"/>
          <w:spacing w:val="-1"/>
        </w:rPr>
        <w:t xml:space="preserve">.</w:t>
      </w:r>
      <w:r>
        <w:rPr>
          <w:iCs/>
          <w:color w:val="000000"/>
          <w:spacing w:val="-1"/>
        </w:rPr>
      </w:r>
    </w:p>
    <w:p>
      <w:pPr>
        <w:ind w:firstLine="709"/>
        <w:jc w:val="both"/>
        <w:shd w:val="clear" w:color="auto" w:fill="ffffff"/>
        <w:tabs>
          <w:tab w:val="left" w:pos="1701" w:leader="none"/>
          <w:tab w:val="left" w:pos="2552" w:leader="none"/>
        </w:tabs>
        <w:rPr>
          <w:color w:val="000000"/>
          <w:sz w:val="28"/>
          <w:szCs w:val="28"/>
        </w:rPr>
      </w:pPr>
      <w:r>
        <w:rPr>
          <w:color w:val="000000"/>
        </w:rPr>
        <w:t xml:space="preserve">Принявшими участие в общем собрании акционеров будут считаться: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1701" w:leader="none"/>
          <w:tab w:val="left" w:pos="2552" w:leader="none"/>
        </w:tabs>
        <w:rPr>
          <w:color w:val="000000"/>
        </w:rPr>
      </w:pPr>
      <w:r>
        <w:rPr>
          <w:color w:val="000000"/>
        </w:rPr>
        <w:t xml:space="preserve">– акционеры, бюллетени которых получены до даты окончания приема бюллетеней, последний день приема </w:t>
      </w:r>
      <w:r>
        <w:rPr>
          <w:b/>
          <w:color w:val="000000"/>
        </w:rPr>
        <w:t xml:space="preserve">24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октября</w:t>
      </w:r>
      <w:r>
        <w:rPr>
          <w:b/>
          <w:color w:val="000000"/>
        </w:rPr>
        <w:t xml:space="preserve"> 2025 года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ind w:firstLine="709"/>
        <w:jc w:val="both"/>
        <w:shd w:val="clear" w:color="auto" w:fill="ffffff"/>
        <w:tabs>
          <w:tab w:val="left" w:pos="1701" w:leader="none"/>
          <w:tab w:val="left" w:pos="2552" w:leader="none"/>
        </w:tabs>
        <w:rPr>
          <w:color w:val="000000"/>
          <w:sz w:val="28"/>
          <w:szCs w:val="28"/>
        </w:rPr>
      </w:pPr>
      <w:r>
        <w:rPr>
          <w:color w:val="000000"/>
        </w:rPr>
        <w:t xml:space="preserve">– акционеры, которые в соответствии с правилами законодательства Российской Федерации о ценных бумагах дали лицам, осуществляющим учет их прав на акции, указания </w:t>
      </w:r>
      <w:r>
        <w:rPr>
          <w:color w:val="000000"/>
        </w:rPr>
        <w:t xml:space="preserve">(инструкции) о голосовании, если сообщения об их волеизъявлении получены до даты окончания приема бюллетеней – </w:t>
      </w:r>
      <w:r>
        <w:rPr>
          <w:b/>
          <w:color w:val="000000"/>
        </w:rPr>
        <w:t xml:space="preserve">24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октября</w:t>
      </w:r>
      <w:r>
        <w:rPr>
          <w:b/>
          <w:color w:val="000000"/>
        </w:rPr>
        <w:t xml:space="preserve"> 2025 года</w:t>
      </w:r>
      <w:r>
        <w:rPr>
          <w:color w:val="000000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highlight w:val="white"/>
          <w:lang w:eastAsia="en-US"/>
        </w:rPr>
        <w:t xml:space="preserve"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З</w:t>
      </w:r>
      <w:r>
        <w:rPr>
          <w:rFonts w:eastAsia="Calibri"/>
          <w:color w:val="000000"/>
          <w:lang w:eastAsia="en-US"/>
        </w:rPr>
        <w:t xml:space="preserve">аполнение и направление бюллетеней для голосования в электронной форме с использованием других электронных либо иных технических средств недопустимо.</w:t>
      </w:r>
      <w:r>
        <w:rPr>
          <w:rFonts w:eastAsia="Calibri"/>
          <w:color w:val="000000"/>
          <w:lang w:eastAsia="en-US"/>
        </w:rPr>
      </w:r>
    </w:p>
    <w:p>
      <w:pPr>
        <w:jc w:val="both"/>
        <w:shd w:val="clear" w:color="auto" w:fill="ffffff"/>
        <w:tabs>
          <w:tab w:val="left" w:pos="993" w:leader="none"/>
          <w:tab w:val="lef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hd w:val="clear" w:color="auto" w:fill="ffffff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b/>
          <w:color w:val="000000" w:themeColor="text1"/>
        </w:rPr>
        <w:t xml:space="preserve"> </w:t>
      </w:r>
      <w:bookmarkStart w:id="0" w:name="_GoBack"/>
      <w:r/>
      <w:bookmarkEnd w:id="0"/>
      <w:r/>
      <w:r>
        <w:rPr>
          <w:rFonts w:eastAsiaTheme="minorHAnsi"/>
          <w:color w:val="000000" w:themeColor="text1"/>
          <w:lang w:eastAsia="en-US"/>
        </w:rPr>
      </w:r>
    </w:p>
    <w:sectPr>
      <w:footnotePr/>
      <w:endnotePr/>
      <w:type w:val="nextPage"/>
      <w:pgSz w:w="11909" w:h="16834" w:orient="portrait"/>
      <w:pgMar w:top="851" w:right="709" w:bottom="851" w:left="1418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8">
    <w:name w:val="Heading 1"/>
    <w:basedOn w:val="657"/>
    <w:next w:val="657"/>
    <w:link w:val="855"/>
    <w:uiPriority w:val="99"/>
    <w:qFormat/>
    <w:pPr>
      <w:jc w:val="center"/>
      <w:keepNext/>
      <w:shd w:val="clear" w:color="auto" w:fill="ffffff"/>
      <w:outlineLvl w:val="0"/>
    </w:pPr>
    <w:rPr>
      <w:b/>
      <w:bCs/>
      <w:color w:val="000000"/>
      <w:spacing w:val="-6"/>
      <w:sz w:val="22"/>
      <w:szCs w:val="22"/>
    </w:rPr>
  </w:style>
  <w:style w:type="paragraph" w:styleId="659">
    <w:name w:val="Heading 2"/>
    <w:basedOn w:val="657"/>
    <w:next w:val="657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3">
    <w:name w:val="Heading 6"/>
    <w:basedOn w:val="657"/>
    <w:next w:val="657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Caption Char"/>
    <w:basedOn w:val="667"/>
    <w:uiPriority w:val="35"/>
    <w:rPr>
      <w:b/>
      <w:bCs/>
      <w:color w:val="5b9bd5" w:themeColor="accent1"/>
      <w:sz w:val="18"/>
      <w:szCs w:val="18"/>
    </w:rPr>
  </w:style>
  <w:style w:type="character" w:styleId="671" w:customStyle="1">
    <w:name w:val="Heading 2 Char"/>
    <w:basedOn w:val="667"/>
    <w:uiPriority w:val="9"/>
    <w:rPr>
      <w:rFonts w:ascii="Arial" w:hAnsi="Arial" w:eastAsia="Arial" w:cs="Arial"/>
      <w:sz w:val="34"/>
    </w:rPr>
  </w:style>
  <w:style w:type="character" w:styleId="672" w:customStyle="1">
    <w:name w:val="Heading 3 Char"/>
    <w:basedOn w:val="667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Heading 4 Char"/>
    <w:basedOn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Heading 5 Char"/>
    <w:basedOn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7"/>
    <w:uiPriority w:val="10"/>
    <w:rPr>
      <w:sz w:val="48"/>
      <w:szCs w:val="48"/>
    </w:rPr>
  </w:style>
  <w:style w:type="character" w:styleId="680" w:customStyle="1">
    <w:name w:val="Subtitle Char"/>
    <w:basedOn w:val="667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7"/>
    <w:uiPriority w:val="99"/>
  </w:style>
  <w:style w:type="character" w:styleId="684" w:customStyle="1">
    <w:name w:val="Название объекта Знак"/>
    <w:basedOn w:val="667"/>
    <w:link w:val="709"/>
    <w:uiPriority w:val="35"/>
    <w:rPr>
      <w:b/>
      <w:bCs/>
      <w:color w:val="5b9bd5" w:themeColor="accent1"/>
      <w:sz w:val="18"/>
      <w:szCs w:val="18"/>
    </w:rPr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Heading 1 Char"/>
    <w:basedOn w:val="667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57"/>
    <w:next w:val="657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Название Знак"/>
    <w:basedOn w:val="667"/>
    <w:link w:val="697"/>
    <w:uiPriority w:val="10"/>
    <w:rPr>
      <w:sz w:val="48"/>
      <w:szCs w:val="48"/>
    </w:rPr>
  </w:style>
  <w:style w:type="paragraph" w:styleId="699">
    <w:name w:val="Subtitle"/>
    <w:basedOn w:val="657"/>
    <w:next w:val="657"/>
    <w:link w:val="700"/>
    <w:uiPriority w:val="11"/>
    <w:qFormat/>
    <w:pPr>
      <w:spacing w:before="200" w:after="200"/>
    </w:pPr>
  </w:style>
  <w:style w:type="character" w:styleId="700" w:customStyle="1">
    <w:name w:val="Подзаголовок Знак"/>
    <w:basedOn w:val="667"/>
    <w:link w:val="699"/>
    <w:uiPriority w:val="11"/>
    <w:rPr>
      <w:sz w:val="24"/>
      <w:szCs w:val="24"/>
    </w:rPr>
  </w:style>
  <w:style w:type="paragraph" w:styleId="701">
    <w:name w:val="Quote"/>
    <w:basedOn w:val="657"/>
    <w:next w:val="657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57"/>
    <w:next w:val="657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57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basedOn w:val="667"/>
    <w:link w:val="705"/>
    <w:uiPriority w:val="99"/>
  </w:style>
  <w:style w:type="paragraph" w:styleId="707">
    <w:name w:val="Footer"/>
    <w:basedOn w:val="657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basedOn w:val="667"/>
    <w:uiPriority w:val="99"/>
  </w:style>
  <w:style w:type="paragraph" w:styleId="709">
    <w:name w:val="Caption"/>
    <w:basedOn w:val="657"/>
    <w:next w:val="657"/>
    <w:link w:val="68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 w:customStyle="1">
    <w:name w:val="Plain Table 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 w:customStyle="1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1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5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 w:customStyle="1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5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 w:customStyle="1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 w:customStyle="1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4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8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 w:customStyle="1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2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6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paragraph" w:styleId="838">
    <w:name w:val="footnote text"/>
    <w:basedOn w:val="657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67"/>
    <w:uiPriority w:val="99"/>
    <w:unhideWhenUsed/>
    <w:rPr>
      <w:vertAlign w:val="superscript"/>
    </w:rPr>
  </w:style>
  <w:style w:type="paragraph" w:styleId="841">
    <w:name w:val="endnote text"/>
    <w:basedOn w:val="657"/>
    <w:link w:val="842"/>
    <w:uiPriority w:val="99"/>
    <w:semiHidden/>
    <w:unhideWhenUsed/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67"/>
    <w:uiPriority w:val="99"/>
    <w:semiHidden/>
    <w:unhideWhenUsed/>
    <w:rPr>
      <w:vertAlign w:val="superscript"/>
    </w:rPr>
  </w:style>
  <w:style w:type="paragraph" w:styleId="844">
    <w:name w:val="toc 1"/>
    <w:basedOn w:val="657"/>
    <w:next w:val="657"/>
    <w:uiPriority w:val="39"/>
    <w:unhideWhenUsed/>
    <w:pPr>
      <w:spacing w:after="57"/>
    </w:pPr>
  </w:style>
  <w:style w:type="paragraph" w:styleId="845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46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47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48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49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50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51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52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57"/>
    <w:next w:val="657"/>
    <w:uiPriority w:val="99"/>
    <w:unhideWhenUsed/>
  </w:style>
  <w:style w:type="character" w:styleId="855" w:customStyle="1">
    <w:name w:val="Заголовок 1 Знак"/>
    <w:basedOn w:val="667"/>
    <w:link w:val="658"/>
    <w:uiPriority w:val="99"/>
    <w:rPr>
      <w:rFonts w:ascii="Times New Roman" w:hAnsi="Times New Roman" w:eastAsia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styleId="856" w:customStyle="1">
    <w:name w:val="msonormal_mailru_css_attribute_postfix"/>
    <w:basedOn w:val="657"/>
    <w:pPr>
      <w:spacing w:before="100" w:beforeAutospacing="1" w:after="100" w:afterAutospacing="1"/>
    </w:pPr>
  </w:style>
  <w:style w:type="paragraph" w:styleId="857">
    <w:name w:val="Balloon Text"/>
    <w:basedOn w:val="657"/>
    <w:link w:val="85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667"/>
    <w:link w:val="85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59">
    <w:name w:val="List Paragraph"/>
    <w:basedOn w:val="657"/>
    <w:uiPriority w:val="34"/>
    <w:qFormat/>
    <w:pPr>
      <w:contextualSpacing/>
      <w:ind w:left="720"/>
    </w:pPr>
  </w:style>
  <w:style w:type="character" w:styleId="860">
    <w:name w:val="annotation reference"/>
    <w:basedOn w:val="667"/>
    <w:uiPriority w:val="99"/>
    <w:semiHidden/>
    <w:unhideWhenUsed/>
    <w:rPr>
      <w:sz w:val="16"/>
      <w:szCs w:val="16"/>
    </w:rPr>
  </w:style>
  <w:style w:type="paragraph" w:styleId="861">
    <w:name w:val="annotation text"/>
    <w:basedOn w:val="657"/>
    <w:link w:val="862"/>
    <w:uiPriority w:val="99"/>
    <w:semiHidden/>
    <w:unhideWhenUsed/>
    <w:rPr>
      <w:sz w:val="20"/>
      <w:szCs w:val="20"/>
    </w:rPr>
  </w:style>
  <w:style w:type="character" w:styleId="862" w:customStyle="1">
    <w:name w:val="Текст примечания Знак"/>
    <w:basedOn w:val="667"/>
    <w:link w:val="86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3">
    <w:name w:val="annotation subject"/>
    <w:basedOn w:val="861"/>
    <w:next w:val="861"/>
    <w:link w:val="864"/>
    <w:uiPriority w:val="99"/>
    <w:semiHidden/>
    <w:unhideWhenUsed/>
    <w:rPr>
      <w:b/>
      <w:bCs/>
    </w:rPr>
  </w:style>
  <w:style w:type="character" w:styleId="864" w:customStyle="1">
    <w:name w:val="Тема примечания Знак"/>
    <w:basedOn w:val="862"/>
    <w:link w:val="86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65">
    <w:name w:val="Normal (Web)"/>
    <w:basedOn w:val="657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4E7CE-4152-4105-BD0E-6A0CA4EA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Кунаева Маргарита Викторовна</dc:creator>
  <cp:keywords/>
  <dc:description/>
  <cp:lastModifiedBy>u4800731</cp:lastModifiedBy>
  <cp:revision>24</cp:revision>
  <dcterms:created xsi:type="dcterms:W3CDTF">2025-05-06T13:34:00Z</dcterms:created>
  <dcterms:modified xsi:type="dcterms:W3CDTF">2025-08-26T08:34:14Z</dcterms:modified>
</cp:coreProperties>
</file>